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407" w:rsidRPr="00531208" w:rsidRDefault="00D91366" w:rsidP="000A53D5">
      <w:pPr>
        <w:jc w:val="center"/>
        <w:rPr>
          <w:b/>
        </w:rPr>
      </w:pPr>
      <w:r w:rsidRPr="00D91366">
        <w:rPr>
          <w:b/>
        </w:rPr>
        <w:t>Универсиада – 201</w:t>
      </w:r>
      <w:r w:rsidR="00531208" w:rsidRPr="00531208">
        <w:rPr>
          <w:b/>
        </w:rPr>
        <w:t>9</w:t>
      </w:r>
    </w:p>
    <w:p w:rsidR="003A0FC5" w:rsidRPr="00531208" w:rsidRDefault="00D91366" w:rsidP="000A53D5">
      <w:pPr>
        <w:pStyle w:val="a5"/>
        <w:jc w:val="center"/>
      </w:pPr>
      <w:r w:rsidRPr="00FC3903">
        <w:rPr>
          <w:b/>
        </w:rPr>
        <w:t>Задание</w:t>
      </w:r>
      <w:r w:rsidR="003A0FC5" w:rsidRPr="003A0FC5">
        <w:t xml:space="preserve"> </w:t>
      </w:r>
      <w:r w:rsidR="003A0FC5" w:rsidRPr="00FC3903">
        <w:rPr>
          <w:b/>
        </w:rPr>
        <w:t>для Универсиады «Ломоносов» по направлению подготовки «Юриспруденция» по секции</w:t>
      </w:r>
      <w:r w:rsidR="00834B78" w:rsidRPr="00FC3903">
        <w:rPr>
          <w:b/>
        </w:rPr>
        <w:t xml:space="preserve"> </w:t>
      </w:r>
      <w:r w:rsidR="003A0FC5" w:rsidRPr="00FC3903">
        <w:rPr>
          <w:b/>
        </w:rPr>
        <w:t>«</w:t>
      </w:r>
      <w:r w:rsidR="000D06A0">
        <w:rPr>
          <w:b/>
        </w:rPr>
        <w:t>Коммерческое право</w:t>
      </w:r>
      <w:r w:rsidR="003A0FC5" w:rsidRPr="00FC3903">
        <w:rPr>
          <w:b/>
        </w:rPr>
        <w:t>»</w:t>
      </w:r>
    </w:p>
    <w:p w:rsidR="00531208" w:rsidRDefault="00531208" w:rsidP="00531208">
      <w:pPr>
        <w:pStyle w:val="a7"/>
        <w:spacing w:line="360" w:lineRule="auto"/>
        <w:jc w:val="both"/>
        <w:rPr>
          <w:rFonts w:ascii="Times New Roman" w:hAnsi="Times New Roman"/>
          <w:sz w:val="28"/>
          <w:szCs w:val="28"/>
        </w:rPr>
      </w:pPr>
      <w:r>
        <w:rPr>
          <w:rFonts w:ascii="Times New Roman" w:eastAsia="Times New Roman" w:hAnsi="Times New Roman" w:cs="Times New Roman"/>
          <w:sz w:val="28"/>
          <w:szCs w:val="28"/>
        </w:rPr>
        <w:t>Участники отборочного заочного тура универсиады выполняют по своему выбору одно из представленных творческих заданий</w:t>
      </w:r>
      <w:r>
        <w:rPr>
          <w:rFonts w:ascii="Times New Roman" w:hAnsi="Times New Roman"/>
          <w:sz w:val="28"/>
          <w:szCs w:val="28"/>
        </w:rPr>
        <w:t>.</w:t>
      </w:r>
    </w:p>
    <w:p w:rsidR="00531208" w:rsidRDefault="00531208" w:rsidP="00531208">
      <w:pPr>
        <w:pStyle w:val="a7"/>
        <w:spacing w:line="360" w:lineRule="auto"/>
        <w:jc w:val="both"/>
        <w:rPr>
          <w:rFonts w:ascii="Times New Roman" w:hAnsi="Times New Roman"/>
          <w:sz w:val="28"/>
          <w:szCs w:val="28"/>
        </w:rPr>
      </w:pPr>
    </w:p>
    <w:p w:rsidR="00D82D79" w:rsidRPr="00D82D79" w:rsidRDefault="00D82D79" w:rsidP="00D82D79">
      <w:pPr>
        <w:pStyle w:val="a7"/>
        <w:spacing w:line="360" w:lineRule="auto"/>
        <w:jc w:val="both"/>
        <w:rPr>
          <w:rFonts w:ascii="Times New Roman" w:eastAsia="Times New Roman" w:hAnsi="Times New Roman" w:cs="Times New Roman"/>
          <w:b/>
          <w:sz w:val="28"/>
          <w:szCs w:val="28"/>
        </w:rPr>
      </w:pPr>
      <w:r w:rsidRPr="00D82D79">
        <w:rPr>
          <w:rFonts w:ascii="Times New Roman" w:eastAsia="Times New Roman" w:hAnsi="Times New Roman" w:cs="Times New Roman"/>
          <w:b/>
          <w:sz w:val="28"/>
          <w:szCs w:val="28"/>
        </w:rPr>
        <w:t>Темы эссе:</w:t>
      </w:r>
    </w:p>
    <w:p w:rsidR="00D82D79" w:rsidRPr="00D82D79" w:rsidRDefault="00D82D79" w:rsidP="00D82D79">
      <w:pPr>
        <w:pStyle w:val="a7"/>
        <w:spacing w:line="360" w:lineRule="auto"/>
        <w:jc w:val="both"/>
        <w:rPr>
          <w:rFonts w:ascii="Times New Roman" w:eastAsia="Times New Roman" w:hAnsi="Times New Roman" w:cs="Times New Roman"/>
          <w:sz w:val="28"/>
          <w:szCs w:val="28"/>
        </w:rPr>
      </w:pPr>
      <w:r w:rsidRPr="00D82D79">
        <w:rPr>
          <w:rFonts w:ascii="Times New Roman" w:eastAsia="Times New Roman" w:hAnsi="Times New Roman" w:cs="Times New Roman"/>
          <w:b/>
          <w:sz w:val="28"/>
          <w:szCs w:val="28"/>
        </w:rPr>
        <w:t>№1</w:t>
      </w:r>
      <w:r w:rsidRPr="00D82D79">
        <w:rPr>
          <w:rFonts w:ascii="Times New Roman" w:eastAsia="Times New Roman" w:hAnsi="Times New Roman" w:cs="Times New Roman"/>
          <w:sz w:val="28"/>
          <w:szCs w:val="28"/>
        </w:rPr>
        <w:t>.      Иррегулярные договоры в коммерческом обороте</w:t>
      </w:r>
    </w:p>
    <w:p w:rsidR="00D82D79" w:rsidRPr="00D82D79" w:rsidRDefault="00D82D79" w:rsidP="00D82D79">
      <w:pPr>
        <w:pStyle w:val="a7"/>
        <w:spacing w:line="360" w:lineRule="auto"/>
        <w:jc w:val="both"/>
        <w:rPr>
          <w:rFonts w:ascii="Times New Roman" w:eastAsia="Times New Roman" w:hAnsi="Times New Roman" w:cs="Times New Roman"/>
          <w:sz w:val="28"/>
          <w:szCs w:val="28"/>
        </w:rPr>
      </w:pPr>
      <w:r w:rsidRPr="00D82D79">
        <w:rPr>
          <w:rFonts w:ascii="Times New Roman" w:eastAsia="Times New Roman" w:hAnsi="Times New Roman" w:cs="Times New Roman"/>
          <w:b/>
          <w:sz w:val="28"/>
          <w:szCs w:val="28"/>
        </w:rPr>
        <w:t>№2.</w:t>
      </w:r>
      <w:r w:rsidRPr="00D82D79">
        <w:rPr>
          <w:rFonts w:ascii="Times New Roman" w:eastAsia="Times New Roman" w:hAnsi="Times New Roman" w:cs="Times New Roman"/>
          <w:sz w:val="28"/>
          <w:szCs w:val="28"/>
        </w:rPr>
        <w:t xml:space="preserve">      Цифровой продукт как объект торгового права</w:t>
      </w:r>
    </w:p>
    <w:p w:rsidR="00D82D79" w:rsidRDefault="00D82D79" w:rsidP="00D82D79">
      <w:pPr>
        <w:pStyle w:val="a7"/>
        <w:spacing w:line="360" w:lineRule="auto"/>
        <w:jc w:val="both"/>
        <w:rPr>
          <w:rFonts w:ascii="Times New Roman" w:eastAsia="Times New Roman" w:hAnsi="Times New Roman" w:cs="Times New Roman"/>
          <w:sz w:val="28"/>
          <w:szCs w:val="28"/>
        </w:rPr>
      </w:pPr>
      <w:r w:rsidRPr="00D82D79">
        <w:rPr>
          <w:rFonts w:ascii="Times New Roman" w:eastAsia="Times New Roman" w:hAnsi="Times New Roman" w:cs="Times New Roman"/>
          <w:b/>
          <w:sz w:val="28"/>
          <w:szCs w:val="28"/>
        </w:rPr>
        <w:t>№3.</w:t>
      </w:r>
      <w:r w:rsidRPr="00D82D79">
        <w:rPr>
          <w:rFonts w:ascii="Times New Roman" w:eastAsia="Times New Roman" w:hAnsi="Times New Roman" w:cs="Times New Roman"/>
          <w:sz w:val="28"/>
          <w:szCs w:val="28"/>
        </w:rPr>
        <w:t xml:space="preserve">      Цель договора купли-продажи</w:t>
      </w:r>
    </w:p>
    <w:p w:rsidR="00D82D79" w:rsidRDefault="00D82D79" w:rsidP="00531208">
      <w:pPr>
        <w:pStyle w:val="a7"/>
        <w:spacing w:line="360" w:lineRule="auto"/>
        <w:jc w:val="both"/>
        <w:rPr>
          <w:rFonts w:ascii="Times New Roman" w:hAnsi="Times New Roman"/>
          <w:sz w:val="28"/>
          <w:szCs w:val="28"/>
        </w:rPr>
      </w:pPr>
    </w:p>
    <w:p w:rsidR="00D82D79" w:rsidRDefault="00531208" w:rsidP="00531208">
      <w:pPr>
        <w:pStyle w:val="a7"/>
        <w:spacing w:line="360" w:lineRule="auto"/>
        <w:jc w:val="both"/>
        <w:rPr>
          <w:rFonts w:ascii="Times New Roman" w:eastAsia="Times New Roman" w:hAnsi="Times New Roman" w:cs="Times New Roman"/>
          <w:b/>
          <w:sz w:val="28"/>
          <w:szCs w:val="28"/>
        </w:rPr>
      </w:pPr>
      <w:r w:rsidRPr="00531208">
        <w:rPr>
          <w:rFonts w:ascii="Times New Roman" w:eastAsia="Times New Roman" w:hAnsi="Times New Roman" w:cs="Times New Roman"/>
          <w:b/>
          <w:sz w:val="28"/>
          <w:szCs w:val="28"/>
        </w:rPr>
        <w:t>Кейс</w:t>
      </w:r>
      <w:r w:rsidR="00D82D79">
        <w:rPr>
          <w:rFonts w:ascii="Times New Roman" w:eastAsia="Times New Roman" w:hAnsi="Times New Roman" w:cs="Times New Roman"/>
          <w:b/>
          <w:sz w:val="28"/>
          <w:szCs w:val="28"/>
        </w:rPr>
        <w:t>ы</w:t>
      </w:r>
    </w:p>
    <w:p w:rsidR="00D82D79" w:rsidRDefault="00531208" w:rsidP="00531208">
      <w:pPr>
        <w:pStyle w:val="a7"/>
        <w:spacing w:line="360" w:lineRule="auto"/>
        <w:jc w:val="both"/>
        <w:rPr>
          <w:rFonts w:ascii="Times New Roman" w:eastAsia="Times New Roman" w:hAnsi="Times New Roman" w:cs="Times New Roman"/>
          <w:b/>
          <w:sz w:val="28"/>
          <w:szCs w:val="28"/>
        </w:rPr>
      </w:pPr>
      <w:r w:rsidRPr="00531208">
        <w:rPr>
          <w:rFonts w:ascii="Times New Roman" w:eastAsia="Times New Roman" w:hAnsi="Times New Roman" w:cs="Times New Roman"/>
          <w:b/>
          <w:sz w:val="28"/>
          <w:szCs w:val="28"/>
        </w:rPr>
        <w:t xml:space="preserve">№ </w:t>
      </w:r>
      <w:r w:rsidR="00D82D79">
        <w:rPr>
          <w:rFonts w:ascii="Times New Roman" w:eastAsia="Times New Roman" w:hAnsi="Times New Roman" w:cs="Times New Roman"/>
          <w:b/>
          <w:sz w:val="28"/>
          <w:szCs w:val="28"/>
        </w:rPr>
        <w:t xml:space="preserve">4. </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 xml:space="preserve">К Торгово-промышленной фирме ООО «Гермес» (покупателю) был предъявлен иск о взыскании суммы предварительной оплаты по договору поставки, заключенному им с АО «Завод железобетонных конструкций» (поставщик), а также неустойки за просрочку ее внесения. При этом Истцом выступил не сам Завод, а некое ООО «Прометей», которое в обоснование своего иска указало, что приобрело требование о внесении предварительной оплаты у поставщика по договору уступки (цессии). </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 xml:space="preserve">Ответчик иска не признал, заявив, что никаких доказательств реального совершения уступки (цессии) ему никто не представил (ни новый кредитор, Истец, ни прежний, поставщик), а кроме того внесение предварительной оплаты не составляет содержания обязательства, является правом покупателя, но не его обязанностью; следовательно, ни о какой уступке не может быть и речи: требования внесения предоплаты не существует, уступать просто нечего. Поскольку нет обязательства о внесении предварительной оплаты, то не может быть и неустойки за его «нарушение»: того, что можно было бы нарушить, опять-таки, просто не существует. Если бы поставщик воспользовался своим правом предоставить исполнение обязательства несмотря на отсутствие предварительной оплаты, то </w:t>
      </w:r>
      <w:r w:rsidRPr="00531208">
        <w:rPr>
          <w:rFonts w:ascii="Times New Roman" w:eastAsia="Times New Roman" w:hAnsi="Times New Roman" w:cs="Times New Roman"/>
          <w:sz w:val="28"/>
          <w:szCs w:val="28"/>
        </w:rPr>
        <w:lastRenderedPageBreak/>
        <w:t xml:space="preserve">обязательство оплатить такой (реально поставленный) товар действительно возникло бы; в отсутствие же поставки платить просто не за что. </w:t>
      </w:r>
      <w:proofErr w:type="gramStart"/>
      <w:r w:rsidRPr="00531208">
        <w:rPr>
          <w:rFonts w:ascii="Times New Roman" w:eastAsia="Times New Roman" w:hAnsi="Times New Roman" w:cs="Times New Roman"/>
          <w:sz w:val="28"/>
          <w:szCs w:val="28"/>
        </w:rPr>
        <w:t>Кроме того</w:t>
      </w:r>
      <w:proofErr w:type="gramEnd"/>
      <w:r w:rsidRPr="00531208">
        <w:rPr>
          <w:rFonts w:ascii="Times New Roman" w:eastAsia="Times New Roman" w:hAnsi="Times New Roman" w:cs="Times New Roman"/>
          <w:sz w:val="28"/>
          <w:szCs w:val="28"/>
        </w:rPr>
        <w:t xml:space="preserve"> ответчик выразил сомнение в том, что такого рода уступка – будь она предметной – была бы законна: ведь в ее результате личность поставщика как бы разделяется: поставлять товары остается обязанным одно лицо (Завод), а право требовать платежа получает другое лицо («Прометей»). Гражданским кодексом подобное «разделение» статуса поставщика между несколькими лицами не предусматривается. </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 xml:space="preserve">Истец пояснил, указав, что в договоре поставки ясно написано о том, то покупатель обязуется оплатить товар предварительно в определенный срок (до наступления указанной в договоре даты), что предварительная оплата является по существу финансированием работ поставщика по изготовлению партии товара (железобетонных балок для межэтажных перекрытий) и что без получения такой оплаты поставщик исполнение договора со стороны поставщика становится просто невозможным, а сам договор теряет смысл, о чем покупателю было прекрасно известно уже в самый момент заключения договора. Истец указал между прочим, что именно этой особенностью договор поставки и отличается от договора купли-продажи: если при обыкновенной купле-продаже сначала передается товар, а потом уплачивается цена, то в поставке все наоборот – сначала уплачивается цена (для того, чтобы поставщик имел средства на закупку или производство товаров), а затем передается товар. Поскольку речь идет именно об обязательстве и о его нарушении, то подлежит уплате и установленная договором неустойка за просрочку его исполнения; даже если это не обязательство, все равно ничто не мешает признать действительным условие договора об уплате денежной суммы в случае просрочки внесения предварительной оплаты; то что эта сумма ошибочно названа «неустойкой» этому никак не препятствует. Истец также заявил, что в особых доказательствах совершения уступки никакой надобности в данном случае нет, поскольку о ней свидетельствует уже самый факт того, что он располагает экземпляром договора поставки, принадлежавшем ранее </w:t>
      </w:r>
      <w:r w:rsidRPr="00531208">
        <w:rPr>
          <w:rFonts w:ascii="Times New Roman" w:eastAsia="Times New Roman" w:hAnsi="Times New Roman" w:cs="Times New Roman"/>
          <w:sz w:val="28"/>
          <w:szCs w:val="28"/>
        </w:rPr>
        <w:lastRenderedPageBreak/>
        <w:t xml:space="preserve">поставщику. В разделении же статуса поставщика между двумя лицами нет ничего страшного: обязанность поставки исполняет один, а право требования платежа осуществляет другой. </w:t>
      </w:r>
    </w:p>
    <w:p w:rsidR="00531208" w:rsidRDefault="00531208" w:rsidP="00531208">
      <w:pPr>
        <w:pStyle w:val="a7"/>
        <w:spacing w:line="360" w:lineRule="auto"/>
        <w:jc w:val="both"/>
        <w:rPr>
          <w:rFonts w:ascii="Times New Roman" w:eastAsia="Times New Roman" w:hAnsi="Times New Roman" w:cs="Times New Roman"/>
          <w:sz w:val="28"/>
          <w:szCs w:val="28"/>
        </w:rPr>
      </w:pPr>
    </w:p>
    <w:p w:rsidR="00D82D79" w:rsidRPr="00531208" w:rsidRDefault="00D82D79" w:rsidP="00531208">
      <w:pPr>
        <w:pStyle w:val="a7"/>
        <w:spacing w:line="360" w:lineRule="auto"/>
        <w:jc w:val="both"/>
        <w:rPr>
          <w:rFonts w:ascii="Times New Roman" w:eastAsia="Times New Roman" w:hAnsi="Times New Roman" w:cs="Times New Roman"/>
          <w:sz w:val="28"/>
          <w:szCs w:val="28"/>
        </w:rPr>
      </w:pPr>
    </w:p>
    <w:p w:rsidR="00531208" w:rsidRPr="00531208" w:rsidRDefault="00531208" w:rsidP="00531208">
      <w:pPr>
        <w:pStyle w:val="a7"/>
        <w:spacing w:line="360" w:lineRule="auto"/>
        <w:jc w:val="both"/>
        <w:rPr>
          <w:rFonts w:ascii="Times New Roman" w:eastAsia="Times New Roman" w:hAnsi="Times New Roman" w:cs="Times New Roman"/>
          <w:b/>
          <w:sz w:val="28"/>
          <w:szCs w:val="28"/>
        </w:rPr>
      </w:pPr>
      <w:r w:rsidRPr="00531208">
        <w:rPr>
          <w:rFonts w:ascii="Times New Roman" w:eastAsia="Times New Roman" w:hAnsi="Times New Roman" w:cs="Times New Roman"/>
          <w:b/>
          <w:sz w:val="28"/>
          <w:szCs w:val="28"/>
        </w:rPr>
        <w:t xml:space="preserve">№ </w:t>
      </w:r>
      <w:r w:rsidR="00D82D79">
        <w:rPr>
          <w:rFonts w:ascii="Times New Roman" w:eastAsia="Times New Roman" w:hAnsi="Times New Roman" w:cs="Times New Roman"/>
          <w:b/>
          <w:sz w:val="28"/>
          <w:szCs w:val="28"/>
        </w:rPr>
        <w:t>5.</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 xml:space="preserve">Машиностроительный завод обратился к контрагенту-поставщику цветных металлов с иском о взыскании суммы неосновательного обогащения в размере разницы между ценами, реально применявшимися в их договорных отношениях, и ценой, подлежавшей (по мнению Истца) применению в соответствии с </w:t>
      </w:r>
      <w:proofErr w:type="spellStart"/>
      <w:r w:rsidRPr="00531208">
        <w:rPr>
          <w:rFonts w:ascii="Times New Roman" w:eastAsia="Times New Roman" w:hAnsi="Times New Roman" w:cs="Times New Roman"/>
          <w:sz w:val="28"/>
          <w:szCs w:val="28"/>
        </w:rPr>
        <w:t>абз</w:t>
      </w:r>
      <w:proofErr w:type="spellEnd"/>
      <w:r w:rsidRPr="00531208">
        <w:rPr>
          <w:rFonts w:ascii="Times New Roman" w:eastAsia="Times New Roman" w:hAnsi="Times New Roman" w:cs="Times New Roman"/>
          <w:sz w:val="28"/>
          <w:szCs w:val="28"/>
        </w:rPr>
        <w:t xml:space="preserve">. 2 п. 1 ст. 424 ГК РФ (государственно-регулируемой ценой). В ходе предварительного судебного заседания по иску было установлено следующее. </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Примерно за полтора года до предъявления иска к Ответчику (компании-поставщику цветных металлов) было осуществлено присоединение другого аналогичного предприятия – производителя и поставщика таких же цветных металлов. Сделка присоединения была предметом контроля со стороны Федеральной антимонопольной службы (ФАС) России, которая разрешила осуществить присоединение на определенных условиях, установленных в выданном ею предписании. Среди прочих условий было и такое, как реализация (поставка) производимых компанией товаров (цветных металлов) в течение 10-ти лет со дня вступления в силу предписания по определенной цене – цене, подлежавшей расчету по установленной предписанием формуле. Суд установил, что несмотря на наличие такого предписания Ответчик в течение всего времени действия предписания требовал с Истца (завода) оплаты товара по иным, более высоким ценам чем та, которая получалась при расчете по формуле.</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 xml:space="preserve">Ответчик иска не признал указав, что его договор с Истцом был заключен до вступления в силу предписания ФАС России и что последнее не содержит никаких указаний насчет того, что ранее заключенные договоры подлежат какому-нибудь пересмотру или перезаключению; следовательно, на их </w:t>
      </w:r>
      <w:r w:rsidRPr="00531208">
        <w:rPr>
          <w:rFonts w:ascii="Times New Roman" w:eastAsia="Times New Roman" w:hAnsi="Times New Roman" w:cs="Times New Roman"/>
          <w:sz w:val="28"/>
          <w:szCs w:val="28"/>
        </w:rPr>
        <w:lastRenderedPageBreak/>
        <w:t>договорные отношения с Истцом указанное предписание ФАС просто не распространяется. Но даже если бы оно на них и распространялось, то применить его все равно было бы невозможно, ибо формула расчета цены, помещенная в предписании, относилась к поставкам на условиях предварительной оплаты, в то время, как в его отношениях с Истцом всегда применялась только последующая оплата, которая, к тому же, почти никогда не вносилась вовремя (всегда просрочивалась).</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Истец пояснил свою позицию указав, что с его точки зрения предписание ФАС России распространяется на все акты реализации или поставки товаров, имевшие место после даты его вступления в силу безотносительно к тому, во исполнение какого договора – заключенного до или после этой даты – они осуществляются. Иная позиция позволила бы Ответчику вообще избежать применения предписания: для этого ему достаточно было бы не заключать новых договоров, а всякий раз просто продлевать старые (благо что круг покупателей его продукции на протяжении многих лет является достаточно нешироким и стабильным). Аналогичный комментарий он дал и по поводу возражения Ответчика, касающегося предварительной оплаты: поскольку ФАС России никак не смогла бы предложить по своей собственной особой формуле на каждый возможный вариант условий поставки и оплаты, имеющуюся в предписании формулу следует рассматривать как некую базу, отправное положение, подлежащее в необходимых случаях коррекции в соответствии с конкретными условиями поставки и оплаты. С тем, чтобы определить размер цены, подлежащей применению при условии последующей оплаты, нет никакой проблемы: для этого нужно цену, определенную на условиях предварительной оплаты, увеличить на обычно применяемый процент по коммерческому кредиту.</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 xml:space="preserve">ФАС России в направленных суду пояснениях указала, что Истец не обращался к ней с жалобой на неисполнение Ответчиком предписания; что установленная предписанием формула цены касается только случаев предварительной оплаты; что предписание не требует перезаключения ранее заключенных договоров; что цена, рассчитанная по формуле, не относится к </w:t>
      </w:r>
      <w:r w:rsidRPr="00531208">
        <w:rPr>
          <w:rFonts w:ascii="Times New Roman" w:eastAsia="Times New Roman" w:hAnsi="Times New Roman" w:cs="Times New Roman"/>
          <w:sz w:val="28"/>
          <w:szCs w:val="28"/>
        </w:rPr>
        <w:lastRenderedPageBreak/>
        <w:t>категории цен, регулируемых государством (</w:t>
      </w:r>
      <w:proofErr w:type="spellStart"/>
      <w:r w:rsidRPr="00531208">
        <w:rPr>
          <w:rFonts w:ascii="Times New Roman" w:eastAsia="Times New Roman" w:hAnsi="Times New Roman" w:cs="Times New Roman"/>
          <w:sz w:val="28"/>
          <w:szCs w:val="28"/>
        </w:rPr>
        <w:t>абз</w:t>
      </w:r>
      <w:proofErr w:type="spellEnd"/>
      <w:r w:rsidRPr="00531208">
        <w:rPr>
          <w:rFonts w:ascii="Times New Roman" w:eastAsia="Times New Roman" w:hAnsi="Times New Roman" w:cs="Times New Roman"/>
          <w:sz w:val="28"/>
          <w:szCs w:val="28"/>
        </w:rPr>
        <w:t xml:space="preserve">. 2 п. 1 ст. 424 ГК РФ), а устанавливается и применяется только «для целей антимонопольного законодательства». </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p>
    <w:p w:rsidR="00531208" w:rsidRPr="00D82D79" w:rsidRDefault="00531208" w:rsidP="00531208">
      <w:pPr>
        <w:pStyle w:val="a7"/>
        <w:spacing w:line="360" w:lineRule="auto"/>
        <w:jc w:val="both"/>
        <w:rPr>
          <w:rFonts w:ascii="Times New Roman" w:eastAsia="Times New Roman" w:hAnsi="Times New Roman" w:cs="Times New Roman"/>
          <w:b/>
          <w:sz w:val="28"/>
          <w:szCs w:val="28"/>
        </w:rPr>
      </w:pPr>
      <w:r w:rsidRPr="00D82D79">
        <w:rPr>
          <w:rFonts w:ascii="Times New Roman" w:eastAsia="Times New Roman" w:hAnsi="Times New Roman" w:cs="Times New Roman"/>
          <w:b/>
          <w:sz w:val="28"/>
          <w:szCs w:val="28"/>
        </w:rPr>
        <w:t xml:space="preserve">№ </w:t>
      </w:r>
      <w:r w:rsidR="00D82D79">
        <w:rPr>
          <w:rFonts w:ascii="Times New Roman" w:eastAsia="Times New Roman" w:hAnsi="Times New Roman" w:cs="Times New Roman"/>
          <w:b/>
          <w:sz w:val="28"/>
          <w:szCs w:val="28"/>
        </w:rPr>
        <w:t>6.</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 xml:space="preserve">Между торговым домом-экспортером минеральных удобрений и речным пароходством, осуществляющим доставку удобрения внутренним водным транспортом от места их производства в морской порт для отправки иностранным покупателям, возник спор о правовой природе и последствиях заключенного между ними договора. Он был оформлен на типовом бланке, обычно применяемом на морском транспорте, и имел наименование «Договор фрахтования»; среди прочих условий он предусматривал, что торговый дом «гарантирует предъявление к перевозке груза минеральных удобрений в количестве не менее 1 млн. тонн в год», а пароходство обязуется по направляемым им заявкам подавать под погрузку суда необходимой грузовой вместимости и осуществлять перевозку за определенную плату (фрахт), рассчитанную исходя из презумпции полной коммерческой загрузки поданного судна. Плата за перевозку судном, загруженным не полностью, взимается в том же размере, как и за судно, загруженное полностью, т. е. подлежит уплате т. н. «мертвый фрахт». </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 xml:space="preserve">В течение длительного времени торговый дом никаких заявок на перевозку вообще не направлял; в результате объем груза, предъявленного к перевозке и реально перевезенного пароходством в течение очередного календарного года действия договора составил чуть более 300 тыс. тонн. Пароходство обратилось в суд с иском о взыскании с Торгового дома «мертвого фрахта» за несостоявшиеся перевозки. </w:t>
      </w:r>
    </w:p>
    <w:p w:rsidR="00531208" w:rsidRP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 xml:space="preserve">В отзыве на иск Торговый дом указал, что о «мертвом фрахте» можно было бы говорить лишь в отношении договоров фрахтования конкретных судов, действительно осуществляющих хотя бы какую-нибудь перевозку. Таких судов не было; заявки на фрахтование им не подавались, договоров фрахтования не заключалось, перевозки не осуществлялись, платить было не </w:t>
      </w:r>
      <w:r w:rsidRPr="00531208">
        <w:rPr>
          <w:rFonts w:ascii="Times New Roman" w:eastAsia="Times New Roman" w:hAnsi="Times New Roman" w:cs="Times New Roman"/>
          <w:sz w:val="28"/>
          <w:szCs w:val="28"/>
        </w:rPr>
        <w:lastRenderedPageBreak/>
        <w:t xml:space="preserve">за что. Заключенный же между ними договор договором фрахтования (несмотря на его наименование) на самом деле не является. Он представляет собой договор об организации будущих перевозок – генеральный договор, который сам по себе никаких конкретных судов, являющихся объектами фрахтования, не определяет и никаких обязательств для него, Торгового дома, не устанавливает – он лишь определяет условия возникновения обязательств в будущем. Наоборот, этот договор предусматривает для Торгового дома право предъявить к перевозке определенное количество груза в течение года; такое предъявление осуществляется путем подачи заявок на фрахтование конкретного судна или судов – вот именно из этих заявок и фактов подачи судов и будут складываться договоры фрахтования, устанавливающие конкретные обязательства (в частности, по «мертвому фрахту»); таких заявок же он, Торговый дом, просто не подавал. Рассматривать подачу заявок на перевозку как обязанность невозможно, поскольку пароходство не имеет особого интереса в осуществлении перевозок. Конечно, оно заинтересовано в получении денег за перевозки, но в таком случае оно должно было бы предъявлять иск о взыскании убытков в виде упущенной выгоды, а не об уплате «мертвого фрахта». </w:t>
      </w:r>
    </w:p>
    <w:p w:rsidR="00531208" w:rsidRDefault="00531208" w:rsidP="00531208">
      <w:pPr>
        <w:pStyle w:val="a7"/>
        <w:spacing w:line="360" w:lineRule="auto"/>
        <w:jc w:val="both"/>
        <w:rPr>
          <w:rFonts w:ascii="Times New Roman" w:eastAsia="Times New Roman" w:hAnsi="Times New Roman" w:cs="Times New Roman"/>
          <w:sz w:val="28"/>
          <w:szCs w:val="28"/>
        </w:rPr>
      </w:pPr>
      <w:r w:rsidRPr="00531208">
        <w:rPr>
          <w:rFonts w:ascii="Times New Roman" w:eastAsia="Times New Roman" w:hAnsi="Times New Roman" w:cs="Times New Roman"/>
          <w:sz w:val="28"/>
          <w:szCs w:val="28"/>
        </w:rPr>
        <w:t>Пароходство возразило в том смысле, что заключенный ими договор ясно говорит о том, что он – договор именно фрахтования, а не какой-либо иной; что даже если он генеральный договор, то это дела не меняет, ибо он определяет условия обязательств; что «мертвый фрахт» - это всего лишь термин, которым в договоре обозначена такая плата, которую Торговый дом должен уплатить в любом случае, независимо от того, сколько груза перевезено и состоялась ли хоть какая-нибудь перевозка вообще; что несмотря на отсутствие заявок со стороны Торгового дома пароходство само, по своей инициативе, подавало необходимые суда под погрузку, которые, простояв на рейде положенное (сталийное) время, уходили обратно без погруженного на них груза и что, следовательно, основания к уплате «мертвого фрахта» налицо.</w:t>
      </w:r>
    </w:p>
    <w:p w:rsidR="00D82D79" w:rsidRDefault="00D82D79" w:rsidP="00531208">
      <w:pPr>
        <w:pStyle w:val="a7"/>
        <w:spacing w:line="360" w:lineRule="auto"/>
        <w:jc w:val="both"/>
        <w:rPr>
          <w:rFonts w:ascii="Times New Roman" w:eastAsia="Times New Roman" w:hAnsi="Times New Roman" w:cs="Times New Roman"/>
          <w:sz w:val="28"/>
          <w:szCs w:val="28"/>
        </w:rPr>
      </w:pPr>
    </w:p>
    <w:p w:rsidR="00531208" w:rsidRDefault="00531208" w:rsidP="00531208">
      <w:pPr>
        <w:pStyle w:val="a7"/>
        <w:spacing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lastRenderedPageBreak/>
        <w:tab/>
        <w:t xml:space="preserve">Творческие задания с № </w:t>
      </w:r>
      <w:r>
        <w:rPr>
          <w:rFonts w:ascii="Times New Roman" w:hAnsi="Times New Roman"/>
          <w:sz w:val="28"/>
          <w:szCs w:val="28"/>
        </w:rPr>
        <w:t xml:space="preserve">1 до № 3 представляют собой темы для подготовки эссе, творческие задания с № 4 до № 6 представляют собой описание фабулы кейса для подготовки правового заключения. </w:t>
      </w:r>
      <w:r>
        <w:rPr>
          <w:rFonts w:ascii="Times New Roman" w:hAnsi="Times New Roman"/>
          <w:sz w:val="28"/>
          <w:szCs w:val="28"/>
          <w:u w:val="single"/>
        </w:rPr>
        <w:t xml:space="preserve">Студент может участвовать в конкурсе только с одной конкурсной работой, выполненной по одному из вышеперечисленных заданий. </w:t>
      </w:r>
    </w:p>
    <w:p w:rsidR="00531208" w:rsidRDefault="00531208" w:rsidP="00531208">
      <w:pPr>
        <w:pStyle w:val="a7"/>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Устанавливаются следующие требования к содержанию и оформлению конкурсных работ</w:t>
      </w:r>
      <w:r>
        <w:rPr>
          <w:rFonts w:ascii="Times New Roman" w:hAnsi="Times New Roman"/>
          <w:sz w:val="28"/>
          <w:szCs w:val="28"/>
        </w:rPr>
        <w:t>:</w:t>
      </w:r>
    </w:p>
    <w:p w:rsidR="00531208" w:rsidRDefault="00531208" w:rsidP="00531208">
      <w:pPr>
        <w:pStyle w:val="a7"/>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Конкурсные работы, представленные по заданиям </w:t>
      </w:r>
      <w:r w:rsidR="00D82D79">
        <w:rPr>
          <w:rFonts w:ascii="Times New Roman" w:hAnsi="Times New Roman"/>
          <w:sz w:val="28"/>
          <w:szCs w:val="28"/>
        </w:rPr>
        <w:t>№№</w:t>
      </w:r>
      <w:r>
        <w:rPr>
          <w:rFonts w:ascii="Times New Roman" w:hAnsi="Times New Roman"/>
          <w:sz w:val="28"/>
          <w:szCs w:val="28"/>
        </w:rPr>
        <w:t xml:space="preserve">1-3 выполняются в виде эссе, состоящего из вводной части, где обосновывается актуальность темы, ставится цель и задачи исследования, дается характеристика теоретической и эмпирической базы работы, основной части, где последовательно излагаются соображения участника конкурса по заданной теме, сопровождаемые аргументацией, заключения, содержащего основные выводы и предложения участника конкурса по теме и списка использованной литературы. Работа должна включать ссылки на источники заимствования при цитировании. Содержание, методы исследования и способы изложения избираются участником конкурса по своему усмотрению. Работа должна быть отпечатана компьютерным способом. Максимальный объем работы - 20000 знаков с пробелами. </w:t>
      </w:r>
    </w:p>
    <w:p w:rsidR="00531208" w:rsidRDefault="00531208" w:rsidP="00531208">
      <w:pPr>
        <w:pStyle w:val="a7"/>
        <w:spacing w:line="360" w:lineRule="auto"/>
        <w:ind w:left="426"/>
        <w:jc w:val="both"/>
        <w:rPr>
          <w:rFonts w:ascii="Times New Roman" w:hAnsi="Times New Roman"/>
          <w:sz w:val="28"/>
          <w:szCs w:val="28"/>
        </w:rPr>
      </w:pPr>
      <w:r>
        <w:rPr>
          <w:rFonts w:ascii="Times New Roman" w:hAnsi="Times New Roman"/>
          <w:sz w:val="28"/>
          <w:szCs w:val="28"/>
        </w:rPr>
        <w:t xml:space="preserve">Критерии оценки: владение понятийным аппаратом коммерческого и договорного права, знание законодательства и судебной практики, умение аргументировать свою позицию, знание основных теоретических подходов к рассматриваемой проблеме и зарубежного опыта, знание содержания базовых актов нового </w:t>
      </w:r>
      <w:proofErr w:type="spellStart"/>
      <w:r>
        <w:rPr>
          <w:rFonts w:ascii="Times New Roman" w:hAnsi="Times New Roman"/>
          <w:sz w:val="28"/>
          <w:szCs w:val="28"/>
          <w:lang w:val="en-US"/>
        </w:rPr>
        <w:t>lex</w:t>
      </w:r>
      <w:proofErr w:type="spellEnd"/>
      <w:r w:rsidRPr="00531208">
        <w:rPr>
          <w:rFonts w:ascii="Times New Roman" w:hAnsi="Times New Roman"/>
          <w:sz w:val="28"/>
          <w:szCs w:val="28"/>
        </w:rPr>
        <w:t xml:space="preserve"> </w:t>
      </w:r>
      <w:proofErr w:type="spellStart"/>
      <w:r>
        <w:rPr>
          <w:rFonts w:ascii="Times New Roman" w:hAnsi="Times New Roman"/>
          <w:sz w:val="28"/>
          <w:szCs w:val="28"/>
          <w:lang w:val="en-US"/>
        </w:rPr>
        <w:t>mercatoria</w:t>
      </w:r>
      <w:proofErr w:type="spellEnd"/>
      <w:r>
        <w:rPr>
          <w:rFonts w:ascii="Times New Roman" w:hAnsi="Times New Roman"/>
          <w:sz w:val="28"/>
          <w:szCs w:val="28"/>
        </w:rPr>
        <w:t>.</w:t>
      </w:r>
    </w:p>
    <w:p w:rsidR="00531208" w:rsidRDefault="00531208" w:rsidP="009947D7">
      <w:pPr>
        <w:pStyle w:val="a7"/>
        <w:numPr>
          <w:ilvl w:val="0"/>
          <w:numId w:val="5"/>
        </w:numPr>
        <w:spacing w:line="360" w:lineRule="auto"/>
        <w:jc w:val="both"/>
        <w:rPr>
          <w:rFonts w:ascii="Times New Roman" w:hAnsi="Times New Roman"/>
          <w:sz w:val="28"/>
          <w:szCs w:val="28"/>
        </w:rPr>
      </w:pPr>
      <w:r w:rsidRPr="00531208">
        <w:rPr>
          <w:rFonts w:ascii="Times New Roman" w:hAnsi="Times New Roman"/>
          <w:sz w:val="28"/>
          <w:szCs w:val="28"/>
        </w:rPr>
        <w:t xml:space="preserve">Работы, представленные по заданиям </w:t>
      </w:r>
      <w:r w:rsidR="00D82D79">
        <w:rPr>
          <w:rFonts w:ascii="Times New Roman" w:hAnsi="Times New Roman"/>
          <w:sz w:val="28"/>
          <w:szCs w:val="28"/>
        </w:rPr>
        <w:t>№№</w:t>
      </w:r>
      <w:bookmarkStart w:id="0" w:name="_GoBack"/>
      <w:bookmarkEnd w:id="0"/>
      <w:r w:rsidRPr="00531208">
        <w:rPr>
          <w:rFonts w:ascii="Times New Roman" w:hAnsi="Times New Roman"/>
          <w:sz w:val="28"/>
          <w:szCs w:val="28"/>
        </w:rPr>
        <w:t xml:space="preserve">4-6, должны быть выполнены в виде правового заключения, состоящего из вводной части, содержащей указание на поставленные задачи и проанализированные (необходимые для анализа) документы и материалы; основной части, содержащей рассуждения и аргументацию участника конкурса по квалификации описанной ситуации и его предложения по применению правового </w:t>
      </w:r>
      <w:r w:rsidRPr="00531208">
        <w:rPr>
          <w:rFonts w:ascii="Times New Roman" w:hAnsi="Times New Roman"/>
          <w:sz w:val="28"/>
          <w:szCs w:val="28"/>
        </w:rPr>
        <w:lastRenderedPageBreak/>
        <w:t xml:space="preserve">инструментария для решения поставленной задачи; заключения, содержащего краткое резюме и основные выводы. Работа должна носить самостоятельный характер и все цитаты должны сопровождаться ссылками на источники заимствования. Содержание, оформление заключения и способы изложения избираются участником конкурса по своему усмотрению. Работа должна быть отпечатана компьютерным способом. Максимальный объем работы, включая содержание фабулы кейса, - 20000 знаков. </w:t>
      </w:r>
    </w:p>
    <w:p w:rsidR="00531208" w:rsidRDefault="00531208" w:rsidP="00531208">
      <w:pPr>
        <w:pStyle w:val="a7"/>
        <w:spacing w:line="360" w:lineRule="auto"/>
        <w:ind w:left="426"/>
        <w:jc w:val="both"/>
        <w:rPr>
          <w:rFonts w:ascii="Times New Roman" w:hAnsi="Times New Roman"/>
          <w:sz w:val="28"/>
          <w:szCs w:val="28"/>
        </w:rPr>
      </w:pPr>
      <w:r w:rsidRPr="00531208">
        <w:rPr>
          <w:rFonts w:ascii="Times New Roman" w:hAnsi="Times New Roman"/>
          <w:sz w:val="28"/>
          <w:szCs w:val="28"/>
        </w:rPr>
        <w:t>Критерии оценки: владение нормами законодательства и правовыми позициями, сформированными Верховным Судом РФ по проблемам кейса, умение аргументировать свою позицию, владение юридической техникой, грамотным юридическим языком, практические навыки, необходимые для работы юриста.</w:t>
      </w:r>
    </w:p>
    <w:p w:rsidR="00531208" w:rsidRDefault="00531208" w:rsidP="00531208">
      <w:pPr>
        <w:pStyle w:val="a7"/>
        <w:spacing w:line="360" w:lineRule="auto"/>
        <w:ind w:left="426"/>
        <w:jc w:val="both"/>
        <w:rPr>
          <w:rFonts w:ascii="Times New Roman" w:hAnsi="Times New Roman"/>
          <w:sz w:val="28"/>
          <w:szCs w:val="28"/>
        </w:rPr>
      </w:pPr>
    </w:p>
    <w:p w:rsidR="00531208" w:rsidRDefault="00531208" w:rsidP="00531208">
      <w:pPr>
        <w:pStyle w:val="a7"/>
        <w:spacing w:line="360" w:lineRule="auto"/>
        <w:ind w:left="426"/>
        <w:jc w:val="both"/>
        <w:rPr>
          <w:rFonts w:ascii="Times New Roman" w:hAnsi="Times New Roman"/>
          <w:sz w:val="28"/>
          <w:szCs w:val="28"/>
        </w:rPr>
      </w:pPr>
    </w:p>
    <w:p w:rsidR="00531208" w:rsidRPr="00531208" w:rsidRDefault="00531208" w:rsidP="00531208">
      <w:pPr>
        <w:pStyle w:val="a7"/>
        <w:spacing w:line="360" w:lineRule="auto"/>
        <w:ind w:left="426"/>
        <w:jc w:val="both"/>
        <w:rPr>
          <w:rFonts w:ascii="Times New Roman" w:hAnsi="Times New Roman"/>
          <w:sz w:val="28"/>
          <w:szCs w:val="28"/>
        </w:rPr>
      </w:pPr>
    </w:p>
    <w:sectPr w:rsidR="00531208" w:rsidRPr="00531208" w:rsidSect="0011066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6F6"/>
    <w:multiLevelType w:val="hybridMultilevel"/>
    <w:tmpl w:val="74C89F4E"/>
    <w:styleLink w:val="a"/>
    <w:lvl w:ilvl="0" w:tplc="120009A2">
      <w:start w:val="1"/>
      <w:numFmt w:val="decimal"/>
      <w:lvlText w:val="%1)"/>
      <w:lvlJc w:val="left"/>
      <w:pPr>
        <w:ind w:left="3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C1A28">
      <w:start w:val="1"/>
      <w:numFmt w:val="decimal"/>
      <w:lvlText w:val="%2)"/>
      <w:lvlJc w:val="left"/>
      <w:pPr>
        <w:ind w:left="818" w:hanging="45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92CC058">
      <w:start w:val="1"/>
      <w:numFmt w:val="decimal"/>
      <w:lvlText w:val="%3)"/>
      <w:lvlJc w:val="left"/>
      <w:pPr>
        <w:ind w:left="1178" w:hanging="45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27ED0B6">
      <w:start w:val="1"/>
      <w:numFmt w:val="decimal"/>
      <w:lvlText w:val="%4)"/>
      <w:lvlJc w:val="left"/>
      <w:pPr>
        <w:ind w:left="1538" w:hanging="45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196F398">
      <w:start w:val="1"/>
      <w:numFmt w:val="decimal"/>
      <w:lvlText w:val="%5)"/>
      <w:lvlJc w:val="left"/>
      <w:pPr>
        <w:ind w:left="1898" w:hanging="45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FBC2F6A">
      <w:start w:val="1"/>
      <w:numFmt w:val="decimal"/>
      <w:lvlText w:val="%6)"/>
      <w:lvlJc w:val="left"/>
      <w:pPr>
        <w:ind w:left="2258" w:hanging="45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C9E9B68">
      <w:start w:val="1"/>
      <w:numFmt w:val="decimal"/>
      <w:lvlText w:val="%7)"/>
      <w:lvlJc w:val="left"/>
      <w:pPr>
        <w:ind w:left="2618" w:hanging="45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03E07AC">
      <w:start w:val="1"/>
      <w:numFmt w:val="decimal"/>
      <w:lvlText w:val="%8)"/>
      <w:lvlJc w:val="left"/>
      <w:pPr>
        <w:ind w:left="2978" w:hanging="45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F180190">
      <w:start w:val="1"/>
      <w:numFmt w:val="decimal"/>
      <w:lvlText w:val="%9)"/>
      <w:lvlJc w:val="left"/>
      <w:pPr>
        <w:ind w:left="3338" w:hanging="45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3ED23932"/>
    <w:multiLevelType w:val="hybridMultilevel"/>
    <w:tmpl w:val="070C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721E11"/>
    <w:multiLevelType w:val="hybridMultilevel"/>
    <w:tmpl w:val="74C89F4E"/>
    <w:numStyleLink w:val="a"/>
  </w:abstractNum>
  <w:abstractNum w:abstractNumId="3" w15:restartNumberingAfterBreak="0">
    <w:nsid w:val="4B2223D7"/>
    <w:multiLevelType w:val="hybridMultilevel"/>
    <w:tmpl w:val="1AB4A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3E6E31"/>
    <w:multiLevelType w:val="hybridMultilevel"/>
    <w:tmpl w:val="CEE60A08"/>
    <w:lvl w:ilvl="0" w:tplc="0EA2CF5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6557A6"/>
    <w:multiLevelType w:val="hybridMultilevel"/>
    <w:tmpl w:val="81B09D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66"/>
    <w:rsid w:val="00041E36"/>
    <w:rsid w:val="000A53D5"/>
    <w:rsid w:val="000D06A0"/>
    <w:rsid w:val="0011066E"/>
    <w:rsid w:val="00152515"/>
    <w:rsid w:val="00167182"/>
    <w:rsid w:val="001E2354"/>
    <w:rsid w:val="00227F38"/>
    <w:rsid w:val="003A0FC5"/>
    <w:rsid w:val="00480871"/>
    <w:rsid w:val="00531208"/>
    <w:rsid w:val="00594407"/>
    <w:rsid w:val="006E1A9E"/>
    <w:rsid w:val="00834B78"/>
    <w:rsid w:val="00A0668B"/>
    <w:rsid w:val="00AE7BA3"/>
    <w:rsid w:val="00B70EDC"/>
    <w:rsid w:val="00B906B6"/>
    <w:rsid w:val="00BE4EF0"/>
    <w:rsid w:val="00C137BF"/>
    <w:rsid w:val="00C234E0"/>
    <w:rsid w:val="00C345C6"/>
    <w:rsid w:val="00CB53BF"/>
    <w:rsid w:val="00CC6A54"/>
    <w:rsid w:val="00CD4348"/>
    <w:rsid w:val="00D82D79"/>
    <w:rsid w:val="00D878B2"/>
    <w:rsid w:val="00D91366"/>
    <w:rsid w:val="00EF5867"/>
    <w:rsid w:val="00F0592A"/>
    <w:rsid w:val="00FC3903"/>
    <w:rsid w:val="00FD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279F"/>
  <w15:docId w15:val="{68E32399-9EF4-44CF-9EE8-D6D892A0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80871"/>
    <w:rPr>
      <w:rFonts w:ascii="Times New Roman" w:hAnsi="Times New Roman" w:cs="Times New Roman"/>
      <w:color w:val="000000"/>
      <w:sz w:val="28"/>
      <w:szCs w:val="28"/>
      <w:shd w:val="clear"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9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D91366"/>
    <w:pPr>
      <w:ind w:left="720"/>
      <w:contextualSpacing/>
    </w:pPr>
  </w:style>
  <w:style w:type="character" w:styleId="a6">
    <w:name w:val="Hyperlink"/>
    <w:basedOn w:val="a1"/>
    <w:uiPriority w:val="99"/>
    <w:unhideWhenUsed/>
    <w:rsid w:val="003A0FC5"/>
    <w:rPr>
      <w:color w:val="0000FF" w:themeColor="hyperlink"/>
      <w:u w:val="single"/>
    </w:rPr>
  </w:style>
  <w:style w:type="paragraph" w:customStyle="1" w:styleId="a7">
    <w:name w:val="Текстовый блок"/>
    <w:rsid w:val="00531208"/>
    <w:pPr>
      <w:spacing w:after="0" w:line="240" w:lineRule="auto"/>
    </w:pPr>
    <w:rPr>
      <w:rFonts w:ascii="Helvetica Neue" w:eastAsia="Arial Unicode MS" w:hAnsi="Helvetica Neue" w:cs="Arial Unicode MS"/>
      <w:color w:val="000000"/>
      <w:lang w:eastAsia="ru-RU"/>
    </w:rPr>
  </w:style>
  <w:style w:type="numbering" w:customStyle="1" w:styleId="a">
    <w:name w:val="С буквами"/>
    <w:rsid w:val="0053120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237">
      <w:bodyDiv w:val="1"/>
      <w:marLeft w:val="0"/>
      <w:marRight w:val="0"/>
      <w:marTop w:val="0"/>
      <w:marBottom w:val="0"/>
      <w:divBdr>
        <w:top w:val="none" w:sz="0" w:space="0" w:color="auto"/>
        <w:left w:val="none" w:sz="0" w:space="0" w:color="auto"/>
        <w:bottom w:val="none" w:sz="0" w:space="0" w:color="auto"/>
        <w:right w:val="none" w:sz="0" w:space="0" w:color="auto"/>
      </w:divBdr>
    </w:div>
    <w:div w:id="18509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dc:creator>
  <cp:lastModifiedBy>Мария Филатова</cp:lastModifiedBy>
  <cp:revision>2</cp:revision>
  <dcterms:created xsi:type="dcterms:W3CDTF">2018-11-19T16:19:00Z</dcterms:created>
  <dcterms:modified xsi:type="dcterms:W3CDTF">2018-11-19T16:19:00Z</dcterms:modified>
</cp:coreProperties>
</file>