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32" w:rsidRPr="004D0932" w:rsidRDefault="004D0932" w:rsidP="004D0932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bookmarkStart w:id="0" w:name="tesisi_1"/>
      <w:bookmarkEnd w:id="0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Требования к оформлению электронного варианта тезисов: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После того, как Вы подали заявку на участие в</w:t>
      </w:r>
      <w:bookmarkStart w:id="1" w:name="_GoBack"/>
      <w:bookmarkEnd w:id="1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конференции, необходимо загрузить тезисы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lang w:eastAsia="ru-RU"/>
        </w:rPr>
        <w:t>Вашей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работы.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Форма подачи тезисов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находится в разделе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«Мои события»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личного профиля.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В окно добавления тезисов вставляется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только текст самих тезисов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. Секцию, подсекцию, название работы, имя, фамилию, отчество, учреждение и электронный адрес вводить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не нужно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, эти сведения уже указаны над окном добавления тезисов (они автоматически сформированы из поданной </w:t>
      </w:r>
      <w:r w:rsidRPr="004D0932">
        <w:rPr>
          <w:rFonts w:ascii="Times New Roman" w:eastAsia="Times New Roman" w:hAnsi="Times New Roman" w:cs="Times New Roman"/>
          <w:lang w:eastAsia="ru-RU"/>
        </w:rPr>
        <w:t>Вами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заявки на участие в конференции).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Объем тезисов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: 1 страница (до 3000 печатных знаков включая пробелы и список литературы).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Для оформления тезисов, которые предполагают наличие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математических формул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, должна использоваться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 xml:space="preserve">система компьютерной верстки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ТеХ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. В этом случае после окна добавления тезисов необходимо поставить галочку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 xml:space="preserve">«Я использую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ТеХ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»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, только тогда система будет воспринимать специальные символы и команды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ТеХ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Список литературы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оформляется в алфавитном порядке по фамилии автора, сначала русскоязычная литература, затем иностранная, далее интернет-сайты. В тексте тезисов должны присутствовать ссылки на все источники из списка литературы. Ссылки в тексте тезисов оформляются в виде [n1], [n1, n2, …], где n1, n2 — номера источников в списке литературы.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  <w:t>Образцы оформления списка литературы для тезисов представлены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hyperlink r:id="rId5" w:history="1">
        <w:r w:rsidR="009B10CD" w:rsidRPr="009B10CD">
          <w:rPr>
            <w:rFonts w:ascii="Times New Roman" w:eastAsia="Times New Roman" w:hAnsi="Times New Roman" w:cs="Times New Roman"/>
            <w:b/>
            <w:bCs/>
            <w:lang w:eastAsia="ru-RU"/>
          </w:rPr>
          <w:t>на</w:t>
        </w:r>
      </w:hyperlink>
      <w:r w:rsidR="009B10CD" w:rsidRPr="009B10CD">
        <w:rPr>
          <w:rFonts w:ascii="Times New Roman" w:eastAsia="Times New Roman" w:hAnsi="Times New Roman" w:cs="Times New Roman"/>
          <w:b/>
          <w:bCs/>
          <w:lang w:eastAsia="ru-RU"/>
        </w:rPr>
        <w:t xml:space="preserve"> странице ниже</w:t>
      </w:r>
      <w:r w:rsidRPr="009B10C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B10CD">
        <w:rPr>
          <w:rFonts w:ascii="Times New Roman" w:eastAsia="Times New Roman" w:hAnsi="Times New Roman" w:cs="Times New Roman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  <w:t>Внимание! При загрузке тезисов через систему автоматического макетирования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нумерацию источников в списке литературы вводить нельзя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, после сохранения тезисов система автоматически нумерует строки. Переход на новый пункт списка производится нажатием клавиши «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Enter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».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Примечания и цитаты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оформляются по правилам гарвардской системы цитирования (</w:t>
      </w:r>
      <w:r w:rsidRPr="009B10CD">
        <w:rPr>
          <w:rFonts w:ascii="Times New Roman" w:eastAsia="Times New Roman" w:hAnsi="Times New Roman" w:cs="Times New Roman"/>
          <w:b/>
          <w:bCs/>
          <w:lang w:eastAsia="ru-RU"/>
        </w:rPr>
        <w:t>на английском языке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): в тексте в скобках приводятся фамилия цитируемого автора (или фамилия первого автора, если авторов несколько), год издания и страница, а в Списке источников и литературы в конце работы приводятся все источники и публикации в алфавитном порядке. Архивные документы цитируются по автору или началу названия, в списке же приводятся авторы и название документа приводятся полностью со всеми необходимыми реквизитами фонда хранения. Археологические и этнологические находки цитируются по публикациям.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9B10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Интернет-публикации описываются по правилам ГОСТа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и цитируются согласно общим правилам (по автору и названию).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Изображения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загружаются файлам формата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jpg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и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png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после вставки текста тезисов.</w:t>
      </w:r>
    </w:p>
    <w:p w:rsidR="004D0932" w:rsidRPr="004D0932" w:rsidRDefault="004D0932" w:rsidP="004D0932">
      <w:pPr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Обращаем Ваше внимание, что в случае значительного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P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B10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Оформление списка литературы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тезисов необходима ссылка, оформленная [1], где 1 — номер источника в списке.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Ниже приводим образцы оформления списка литературы для тезисов, представленных для участия в конференции «Ломоносов».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монографий: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Пацына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В.Л., Квасков В.Д. Атлас фонетики и графики арабского языка. М., 2003.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Нушикян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Э.А. Типология интонации эмоциональной речи. Киев; Одесса, 1986.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Достоевский Ф.М. Полное собрание сочинений: В 30 т. Л., 1972-1989. Т. 6, 7, 9.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статей в отдельных изданиях и сборниках: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Князев С.В. Фонетическая реализация ударения в различных фразовых позициях в современном русском языке // Фонетика сегодня: актуальные проблемы и университетское преподавание. М, 1998. С. 57-89.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Ткачев И.Ю. Семантический признак ’Накопитель эффекта’ и его релевантность для построения таксономической классификации русских глаголов // Материалы XII Международной конференции студентов, аспирантов и молодых ученых «Ломоносов». 12-15 апреля 2005 г. Т.IV: Иностранные языки. Филология. М., 2005.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Писемский А.Ф. Фельетоны Никиты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Безрылова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// Писемский А.Ф. Полн. собр. соч. СПб.; М., 1913. Т. 7. С. 612-625.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статей в журналах и периодических изданиях: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Панков Ф.И. Функционально-семантическая категория наречной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темпоральности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и система значений наречий времени в русском языке // Вестник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Моск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ун-та, Сер. 9. Филология. 2005.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No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1. С. 45-50.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Словари: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Словарь русских говоров Среднего Урала / Под ред. А.К. Матвеева: В 7 т. Свердловск, 1964-1988.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Федорова Л.Г. Цитата // Литературная энциклопедия терминов и понятий. М., 2001. С. 507.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авторефератов: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Калюжная И.А. Концепт «детство» в немецкой и русской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лингвокультурах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Автореф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дисс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... канд.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филол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наук. Волгоград, 2007.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Интернет-сайт и источники из интернета: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Грамота.ру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: http://www.gramota.ru</w:t>
      </w:r>
    </w:p>
    <w:p w:rsidR="004D0932" w:rsidRPr="004D0932" w:rsidRDefault="004D0932" w:rsidP="004D0932">
      <w:pPr>
        <w:spacing w:before="319" w:after="319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10CD" w:rsidRDefault="009B10CD" w:rsidP="004D0932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color w:val="2992D4"/>
          <w:lang w:eastAsia="ru-RU"/>
        </w:rPr>
      </w:pPr>
    </w:p>
    <w:sectPr w:rsidR="009B10CD" w:rsidSect="00AA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AB2"/>
    <w:multiLevelType w:val="multilevel"/>
    <w:tmpl w:val="1DD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494A"/>
    <w:multiLevelType w:val="multilevel"/>
    <w:tmpl w:val="9F5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46D20"/>
    <w:multiLevelType w:val="multilevel"/>
    <w:tmpl w:val="78AE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4D0932"/>
    <w:rsid w:val="004D0932"/>
    <w:rsid w:val="006642B0"/>
    <w:rsid w:val="009B10CD"/>
    <w:rsid w:val="00AA4FDF"/>
    <w:rsid w:val="00AC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ub.youngscience.ru/rus/event/3000/page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2017-01-24T09:43:00Z</dcterms:created>
  <dcterms:modified xsi:type="dcterms:W3CDTF">2017-01-24T09:43:00Z</dcterms:modified>
</cp:coreProperties>
</file>