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BD3600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E876D1">
        <w:rPr>
          <w:rFonts w:ascii="Times New Roman" w:hAnsi="Times New Roman" w:cs="Times New Roman"/>
          <w:b/>
          <w:sz w:val="28"/>
          <w:szCs w:val="28"/>
        </w:rPr>
        <w:t>Теория государства и права</w:t>
      </w:r>
      <w:bookmarkStart w:id="0" w:name="_GoBack"/>
      <w:bookmarkEnd w:id="0"/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B62337" w:rsidRDefault="009A4AE9" w:rsidP="00A61C17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623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предложенных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B623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E876D1" w:rsidRPr="00E876D1" w:rsidRDefault="00E92579" w:rsidP="00E8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E876D1"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Понятие свободы в русской и западноевропейской политико-правовой мысли Нового времени: сравнительный анализ.</w:t>
      </w:r>
    </w:p>
    <w:p w:rsidR="00E876D1" w:rsidRPr="00E876D1" w:rsidRDefault="00E876D1" w:rsidP="00E876D1">
      <w:pPr>
        <w:pStyle w:val="a3"/>
        <w:ind w:left="79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876D1" w:rsidRPr="00E876D1" w:rsidRDefault="00E876D1" w:rsidP="00E8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Правоотношение как социологическая и догматическая категория в отечественной теоретико-правовой науке.</w:t>
      </w:r>
    </w:p>
    <w:p w:rsidR="00E876D1" w:rsidRPr="00E876D1" w:rsidRDefault="00E876D1" w:rsidP="00E876D1">
      <w:pPr>
        <w:pStyle w:val="a3"/>
        <w:ind w:left="79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876D1" w:rsidRPr="00E876D1" w:rsidRDefault="00E876D1" w:rsidP="00E876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76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Континентальная и англосаксонская правовые семьи: сравнительная характеристика.</w:t>
      </w:r>
    </w:p>
    <w:p w:rsidR="004D447F" w:rsidRPr="00B62337" w:rsidRDefault="004D447F" w:rsidP="00E876D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830"/>
    <w:multiLevelType w:val="hybridMultilevel"/>
    <w:tmpl w:val="B4A83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62337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876D1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70D7D-A455-4132-8BC8-3E3885C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  <w:style w:type="paragraph" w:styleId="a3">
    <w:name w:val="List Paragraph"/>
    <w:basedOn w:val="a"/>
    <w:uiPriority w:val="34"/>
    <w:qFormat/>
    <w:rsid w:val="00B6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3</cp:revision>
  <dcterms:created xsi:type="dcterms:W3CDTF">2016-11-21T11:55:00Z</dcterms:created>
  <dcterms:modified xsi:type="dcterms:W3CDTF">2016-11-21T11:56:00Z</dcterms:modified>
</cp:coreProperties>
</file>