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C9" w:rsidRPr="00B73B16" w:rsidRDefault="00122BC9" w:rsidP="00122BC9">
      <w:pPr>
        <w:spacing w:after="0"/>
        <w:ind w:firstLine="708"/>
        <w:jc w:val="both"/>
        <w:rPr>
          <w:rFonts w:ascii="Bookman Old Style" w:hAnsi="Bookman Old Style"/>
          <w:b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23-24 ноября 2016 г. будут работать следующие </w:t>
      </w:r>
      <w:r w:rsidRPr="00B73B16">
        <w:rPr>
          <w:rFonts w:ascii="Bookman Old Style" w:hAnsi="Bookman Old Style"/>
          <w:b/>
          <w:color w:val="17365D" w:themeColor="text2" w:themeShade="BF"/>
          <w:sz w:val="24"/>
          <w:szCs w:val="24"/>
        </w:rPr>
        <w:t>секции:</w:t>
      </w:r>
    </w:p>
    <w:p w:rsidR="00122BC9" w:rsidRPr="00B73B16" w:rsidRDefault="00122BC9" w:rsidP="00122BC9">
      <w:pPr>
        <w:spacing w:after="0"/>
        <w:jc w:val="both"/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122BC9" w:rsidRPr="00B73B16" w:rsidRDefault="00122BC9" w:rsidP="00122BC9">
      <w:pPr>
        <w:spacing w:after="0"/>
        <w:jc w:val="both"/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72433C">
        <w:rPr>
          <w:rFonts w:ascii="Bookman Old Style" w:hAnsi="Bookman Old Style"/>
          <w:color w:val="17365D" w:themeColor="text2" w:themeShade="BF"/>
          <w:sz w:val="24"/>
          <w:szCs w:val="24"/>
        </w:rPr>
        <w:t>23 ноября</w:t>
      </w: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в </w:t>
      </w:r>
      <w:r w:rsidRPr="00B73B16">
        <w:rPr>
          <w:rFonts w:ascii="Bookman Old Style" w:hAnsi="Bookman Old Style"/>
          <w:b/>
          <w:color w:val="17365D" w:themeColor="text2" w:themeShade="BF"/>
          <w:sz w:val="24"/>
          <w:szCs w:val="24"/>
        </w:rPr>
        <w:t xml:space="preserve">МГУ </w:t>
      </w: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пройдут заседания секций:</w:t>
      </w:r>
    </w:p>
    <w:p w:rsidR="00122BC9" w:rsidRPr="00B73B16" w:rsidRDefault="00122BC9" w:rsidP="00A5229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Административное право</w:t>
      </w:r>
    </w:p>
    <w:p w:rsidR="00122BC9" w:rsidRPr="00B73B16" w:rsidRDefault="00122BC9" w:rsidP="00A52298">
      <w:pPr>
        <w:spacing w:after="0"/>
        <w:jc w:val="both"/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"Административно-правовые способы обеспечения права на образование"</w:t>
      </w:r>
    </w:p>
    <w:p w:rsidR="00A52298" w:rsidRPr="00B73B16" w:rsidRDefault="00A52298" w:rsidP="00A52298">
      <w:pPr>
        <w:spacing w:after="0"/>
        <w:jc w:val="both"/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122BC9" w:rsidRPr="00B73B16" w:rsidRDefault="00122BC9" w:rsidP="00A5229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Гражданское право</w:t>
      </w:r>
    </w:p>
    <w:p w:rsidR="00122BC9" w:rsidRPr="00B73B16" w:rsidRDefault="00122BC9" w:rsidP="00A5229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Cs w:val="24"/>
        </w:rPr>
        <w:t>«Реформа Гражданского кодекса РФ: итоги и перспективы»</w:t>
      </w: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 xml:space="preserve"> </w:t>
      </w:r>
    </w:p>
    <w:p w:rsidR="00A52298" w:rsidRPr="00B73B16" w:rsidRDefault="00A52298" w:rsidP="00A5229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</w:p>
    <w:p w:rsidR="00122BC9" w:rsidRPr="00B73B16" w:rsidRDefault="00122BC9" w:rsidP="00A5229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Гражданский процесс</w:t>
      </w:r>
    </w:p>
    <w:p w:rsidR="007F6345" w:rsidRPr="00B73B16" w:rsidRDefault="00122BC9" w:rsidP="00A52298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«Реализация права на судебную защиту в гражданском и административном судопроизводстве»</w:t>
      </w:r>
    </w:p>
    <w:p w:rsidR="0073058F" w:rsidRPr="00B73B16" w:rsidRDefault="0073058F" w:rsidP="00A52298">
      <w:pPr>
        <w:pStyle w:val="2"/>
        <w:ind w:firstLine="34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Международное право</w:t>
      </w:r>
    </w:p>
    <w:p w:rsidR="00122BC9" w:rsidRPr="00B73B16" w:rsidRDefault="0073058F" w:rsidP="00A52298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«Обеспечение прав и свобод личности в международном праве»</w:t>
      </w:r>
    </w:p>
    <w:p w:rsidR="0073058F" w:rsidRPr="00B73B16" w:rsidRDefault="0073058F" w:rsidP="00A52298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 w:val="24"/>
          <w:szCs w:val="24"/>
        </w:rPr>
        <w:t xml:space="preserve">Предпринимательское право: </w:t>
      </w: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«Обеспечение прав  и интересов предпринимателей в современной экономике России»</w:t>
      </w:r>
    </w:p>
    <w:p w:rsidR="0073058F" w:rsidRPr="00B73B16" w:rsidRDefault="0073058F" w:rsidP="00A5229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Теория государства и права</w:t>
      </w:r>
    </w:p>
    <w:p w:rsidR="0073058F" w:rsidRPr="00B73B16" w:rsidRDefault="0073058F" w:rsidP="00A52298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 w:val="24"/>
          <w:szCs w:val="24"/>
        </w:rPr>
        <w:t>Круглый стол</w:t>
      </w: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: «Роль государства в обеспечении прав личности: российский и зарубежный опыт»</w:t>
      </w:r>
    </w:p>
    <w:p w:rsidR="00A52298" w:rsidRPr="00B73B16" w:rsidRDefault="00A52298" w:rsidP="00A5229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Уголовное право и криминология</w:t>
      </w:r>
    </w:p>
    <w:p w:rsidR="00A52298" w:rsidRPr="00B73B16" w:rsidRDefault="00A52298" w:rsidP="00A52298">
      <w:pPr>
        <w:pStyle w:val="2"/>
        <w:ind w:firstLine="0"/>
        <w:jc w:val="left"/>
        <w:rPr>
          <w:rFonts w:ascii="Bookman Old Style" w:hAnsi="Bookman Old Style"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Cs w:val="24"/>
        </w:rPr>
        <w:t>«Кузнецовские чтения»</w:t>
      </w:r>
    </w:p>
    <w:p w:rsidR="0073058F" w:rsidRPr="00B73B16" w:rsidRDefault="00A52298" w:rsidP="00A52298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«Роль уголовного права в обеспечении прав и свобод человека»</w:t>
      </w:r>
    </w:p>
    <w:p w:rsidR="00A52298" w:rsidRPr="00B73B16" w:rsidRDefault="00A52298" w:rsidP="00A5229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Финансовое право</w:t>
      </w:r>
    </w:p>
    <w:p w:rsidR="00A52298" w:rsidRPr="00B73B16" w:rsidRDefault="00A52298" w:rsidP="00A52298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"Публичные финансы, как механизм обеспечения прав и свобод человека"</w:t>
      </w:r>
    </w:p>
    <w:p w:rsidR="00A52298" w:rsidRPr="00B73B16" w:rsidRDefault="00A52298" w:rsidP="00A52298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 w:val="24"/>
          <w:szCs w:val="24"/>
        </w:rPr>
        <w:t xml:space="preserve">Х Межвузовская научная конференция «Язык и право» </w:t>
      </w: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на тему</w:t>
      </w:r>
      <w:r w:rsidRPr="00B73B16">
        <w:rPr>
          <w:rFonts w:ascii="Bookman Old Style" w:hAnsi="Bookman Old Style"/>
          <w:b/>
          <w:color w:val="17365D" w:themeColor="text2" w:themeShade="BF"/>
          <w:sz w:val="24"/>
          <w:szCs w:val="24"/>
        </w:rPr>
        <w:t xml:space="preserve"> </w:t>
      </w: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«Язык для специальных целей: актуальные вопросы теории и практики»</w:t>
      </w:r>
    </w:p>
    <w:p w:rsidR="00A52298" w:rsidRPr="00B73B16" w:rsidRDefault="00A52298" w:rsidP="00A52298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72433C">
        <w:rPr>
          <w:rFonts w:ascii="Bookman Old Style" w:hAnsi="Bookman Old Style"/>
          <w:color w:val="17365D" w:themeColor="text2" w:themeShade="BF"/>
          <w:sz w:val="24"/>
          <w:szCs w:val="24"/>
        </w:rPr>
        <w:t>23 ноября</w:t>
      </w: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в </w:t>
      </w:r>
      <w:r w:rsidRPr="00B73B16">
        <w:rPr>
          <w:rFonts w:ascii="Bookman Old Style" w:hAnsi="Bookman Old Style"/>
          <w:b/>
          <w:color w:val="17365D" w:themeColor="text2" w:themeShade="BF"/>
          <w:sz w:val="24"/>
          <w:szCs w:val="24"/>
        </w:rPr>
        <w:t xml:space="preserve">МГЮА  </w:t>
      </w: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пройдут заседания секций</w:t>
      </w:r>
    </w:p>
    <w:p w:rsidR="00031BCF" w:rsidRPr="00B73B16" w:rsidRDefault="00031BCF" w:rsidP="00031BCF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История государства и права</w:t>
      </w:r>
    </w:p>
    <w:p w:rsidR="00031BCF" w:rsidRPr="00B73B16" w:rsidRDefault="00031BCF" w:rsidP="00031BCF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Круглый стол «Личность и правовой субъект: правовые аспекты»</w:t>
      </w:r>
    </w:p>
    <w:p w:rsidR="00031BCF" w:rsidRPr="00B73B16" w:rsidRDefault="00031BCF" w:rsidP="00031BCF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Конституционное</w:t>
      </w:r>
    </w:p>
    <w:p w:rsidR="00031BCF" w:rsidRPr="00B73B16" w:rsidRDefault="00031BCF" w:rsidP="00031BCF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и муниципальное право</w:t>
      </w:r>
    </w:p>
    <w:p w:rsidR="00031BCF" w:rsidRPr="00B73B16" w:rsidRDefault="00031BCF" w:rsidP="00031BCF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i/>
          <w:color w:val="17365D" w:themeColor="text2" w:themeShade="BF"/>
          <w:szCs w:val="24"/>
        </w:rPr>
        <w:t>« Конституционно-правовые проблемы обеспечения прав и свобод личности в современном мире»</w:t>
      </w:r>
    </w:p>
    <w:p w:rsidR="00031BCF" w:rsidRPr="00B73B16" w:rsidRDefault="00031BCF" w:rsidP="00031BCF">
      <w:pPr>
        <w:rPr>
          <w:rFonts w:ascii="Bookman Old Style" w:hAnsi="Bookman Old Style"/>
          <w:i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 w:val="24"/>
          <w:szCs w:val="24"/>
        </w:rPr>
        <w:t xml:space="preserve">Круглый стол </w:t>
      </w:r>
      <w:r w:rsidRPr="00B73B16">
        <w:rPr>
          <w:rFonts w:ascii="Bookman Old Style" w:hAnsi="Bookman Old Style"/>
          <w:i/>
          <w:color w:val="17365D" w:themeColor="text2" w:themeShade="BF"/>
          <w:sz w:val="24"/>
          <w:szCs w:val="24"/>
        </w:rPr>
        <w:t xml:space="preserve">«Ушедшая эпоха и новые задачи конституционализма», посвященного памяти коллег Е.И. Козловой и В.В. </w:t>
      </w:r>
      <w:proofErr w:type="spellStart"/>
      <w:r w:rsidRPr="00B73B16">
        <w:rPr>
          <w:rFonts w:ascii="Bookman Old Style" w:hAnsi="Bookman Old Style"/>
          <w:i/>
          <w:color w:val="17365D" w:themeColor="text2" w:themeShade="BF"/>
          <w:sz w:val="24"/>
          <w:szCs w:val="24"/>
        </w:rPr>
        <w:t>Маклакова</w:t>
      </w:r>
      <w:proofErr w:type="spellEnd"/>
      <w:r w:rsidRPr="00B73B16">
        <w:rPr>
          <w:rFonts w:ascii="Bookman Old Style" w:hAnsi="Bookman Old Style"/>
          <w:i/>
          <w:color w:val="17365D" w:themeColor="text2" w:themeShade="BF"/>
          <w:sz w:val="24"/>
          <w:szCs w:val="24"/>
        </w:rPr>
        <w:t>»</w:t>
      </w:r>
    </w:p>
    <w:p w:rsidR="00031BCF" w:rsidRPr="00B73B16" w:rsidRDefault="00031BCF" w:rsidP="00031BCF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Криминалистика</w:t>
      </w:r>
    </w:p>
    <w:p w:rsidR="00031BCF" w:rsidRPr="00B73B16" w:rsidRDefault="00031BCF" w:rsidP="00031BCF">
      <w:pPr>
        <w:pStyle w:val="2"/>
        <w:ind w:firstLine="0"/>
        <w:jc w:val="left"/>
        <w:rPr>
          <w:rFonts w:ascii="Bookman Old Style" w:hAnsi="Bookman Old Style"/>
          <w:i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 xml:space="preserve">Круглый стол </w:t>
      </w:r>
      <w:r w:rsidRPr="00B73B16">
        <w:rPr>
          <w:rFonts w:ascii="Bookman Old Style" w:hAnsi="Bookman Old Style"/>
          <w:i/>
          <w:color w:val="17365D" w:themeColor="text2" w:themeShade="BF"/>
          <w:szCs w:val="24"/>
        </w:rPr>
        <w:t>«Криминалистическое изучение личности»</w:t>
      </w:r>
    </w:p>
    <w:p w:rsidR="00031BCF" w:rsidRPr="00B73B16" w:rsidRDefault="00031BCF" w:rsidP="00031BCF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 w:val="24"/>
          <w:szCs w:val="24"/>
        </w:rPr>
        <w:t>Круглый стол</w:t>
      </w: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: «История кафедры Криминалистики ВЮЗИ-МГЮА в лицах</w:t>
      </w:r>
    </w:p>
    <w:p w:rsidR="00BF543E" w:rsidRPr="00B73B16" w:rsidRDefault="00BF543E" w:rsidP="00BF543E">
      <w:pPr>
        <w:pStyle w:val="2"/>
        <w:ind w:firstLine="34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Международное частное право</w:t>
      </w:r>
    </w:p>
    <w:p w:rsidR="00031BCF" w:rsidRPr="00B73B16" w:rsidRDefault="00BF543E" w:rsidP="00BF543E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«Роль международного частного права в современном мире»</w:t>
      </w:r>
    </w:p>
    <w:p w:rsidR="00BF543E" w:rsidRDefault="00BF543E" w:rsidP="00BF543E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«</w:t>
      </w:r>
      <w:r w:rsidRPr="00B73B16">
        <w:rPr>
          <w:rFonts w:ascii="Bookman Old Style" w:hAnsi="Bookman Old Style"/>
          <w:color w:val="17365D" w:themeColor="text2" w:themeShade="BF"/>
          <w:szCs w:val="24"/>
        </w:rPr>
        <w:t>Новые технологии и их влияние на правовой мир»</w:t>
      </w: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 xml:space="preserve"> </w:t>
      </w:r>
    </w:p>
    <w:p w:rsidR="00B73B16" w:rsidRPr="00B73B16" w:rsidRDefault="00B73B16" w:rsidP="00BF543E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</w:p>
    <w:p w:rsidR="00BF543E" w:rsidRPr="00B73B16" w:rsidRDefault="00BF543E" w:rsidP="00BF543E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Сравнительное право</w:t>
      </w:r>
    </w:p>
    <w:p w:rsidR="00BF543E" w:rsidRPr="00B73B16" w:rsidRDefault="00BF543E" w:rsidP="00BF543E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lastRenderedPageBreak/>
        <w:t>Памяти профессора В.А.Туманова</w:t>
      </w:r>
    </w:p>
    <w:p w:rsidR="00E55F28" w:rsidRPr="00B73B16" w:rsidRDefault="00E55F28" w:rsidP="00E55F2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Судебных  экспертиз</w:t>
      </w:r>
    </w:p>
    <w:p w:rsidR="00E55F28" w:rsidRPr="00B73B16" w:rsidRDefault="00E55F28" w:rsidP="00E55F2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</w:p>
    <w:p w:rsidR="00E55F28" w:rsidRPr="00B73B16" w:rsidRDefault="00E55F28" w:rsidP="00BF543E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72433C">
        <w:rPr>
          <w:rFonts w:ascii="Bookman Old Style" w:hAnsi="Bookman Old Style"/>
          <w:color w:val="17365D" w:themeColor="text2" w:themeShade="BF"/>
          <w:sz w:val="24"/>
          <w:szCs w:val="24"/>
        </w:rPr>
        <w:t>24 ноября</w:t>
      </w: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в </w:t>
      </w:r>
      <w:r w:rsidRPr="00B73B16">
        <w:rPr>
          <w:rFonts w:ascii="Bookman Old Style" w:hAnsi="Bookman Old Style"/>
          <w:b/>
          <w:color w:val="17365D" w:themeColor="text2" w:themeShade="BF"/>
          <w:sz w:val="24"/>
          <w:szCs w:val="24"/>
        </w:rPr>
        <w:t xml:space="preserve">МГУ </w:t>
      </w: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пройдут заседания секций</w:t>
      </w:r>
    </w:p>
    <w:p w:rsidR="00E55F28" w:rsidRPr="00B73B16" w:rsidRDefault="00E55F28" w:rsidP="00E55F2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История государства и права</w:t>
      </w:r>
    </w:p>
    <w:p w:rsidR="00E55F28" w:rsidRPr="00B73B16" w:rsidRDefault="00E55F28" w:rsidP="00E55F28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«Права и свободы человека в истории государства и права»</w:t>
      </w:r>
    </w:p>
    <w:p w:rsidR="00E55F28" w:rsidRPr="00B73B16" w:rsidRDefault="00E55F28" w:rsidP="00E55F2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Коммерческое право</w:t>
      </w:r>
    </w:p>
    <w:p w:rsidR="00E55F28" w:rsidRPr="00B73B16" w:rsidRDefault="00E55F28" w:rsidP="00E55F28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«Обеспечение прав участников торгового оборота»</w:t>
      </w:r>
    </w:p>
    <w:p w:rsidR="00E55F28" w:rsidRPr="00B73B16" w:rsidRDefault="00E55F28" w:rsidP="00E55F2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Конкурентное право</w:t>
      </w:r>
    </w:p>
    <w:p w:rsidR="00E55F28" w:rsidRPr="00B73B16" w:rsidRDefault="00E55F28" w:rsidP="00E55F28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«Антимонопольная и тарифная политика на современном этапе: тенденции и перспективы»</w:t>
      </w:r>
    </w:p>
    <w:p w:rsidR="00E55F28" w:rsidRPr="00B73B16" w:rsidRDefault="00E55F28" w:rsidP="00E55F28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Криминалистика</w:t>
      </w:r>
    </w:p>
    <w:p w:rsidR="00E55F28" w:rsidRPr="00B73B16" w:rsidRDefault="00E55F28" w:rsidP="00E55F28">
      <w:pPr>
        <w:rPr>
          <w:rFonts w:ascii="Bookman Old Style" w:hAnsi="Bookman Old Style"/>
          <w:i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 w:val="24"/>
          <w:szCs w:val="24"/>
        </w:rPr>
        <w:t xml:space="preserve">Круглый стол </w:t>
      </w:r>
      <w:r w:rsidRPr="00B73B16">
        <w:rPr>
          <w:rFonts w:ascii="Bookman Old Style" w:hAnsi="Bookman Old Style"/>
          <w:i/>
          <w:color w:val="17365D" w:themeColor="text2" w:themeShade="BF"/>
          <w:sz w:val="24"/>
          <w:szCs w:val="24"/>
        </w:rPr>
        <w:t>«Современные возможности собирания и исследования вещественных доказательств»</w:t>
      </w:r>
    </w:p>
    <w:p w:rsidR="00E55F28" w:rsidRPr="00B73B16" w:rsidRDefault="00E55F28" w:rsidP="00E55F28">
      <w:pPr>
        <w:spacing w:after="0" w:line="240" w:lineRule="auto"/>
        <w:rPr>
          <w:rFonts w:ascii="Bookman Old Style" w:hAnsi="Bookman Old Style"/>
          <w:b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 w:val="24"/>
          <w:szCs w:val="24"/>
        </w:rPr>
        <w:t>Семейное право</w:t>
      </w:r>
    </w:p>
    <w:p w:rsidR="00E55F28" w:rsidRPr="00B73B16" w:rsidRDefault="00E55F28" w:rsidP="00E55F28">
      <w:pPr>
        <w:spacing w:after="0" w:line="240" w:lineRule="auto"/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"Институт семьи как инструмент реализации прав и свобод человека в современном мире"</w:t>
      </w:r>
    </w:p>
    <w:p w:rsidR="001D1842" w:rsidRPr="00B73B16" w:rsidRDefault="001D1842" w:rsidP="00E55F28">
      <w:pPr>
        <w:spacing w:after="0" w:line="240" w:lineRule="auto"/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1D1842" w:rsidRPr="00B73B16" w:rsidRDefault="001D1842" w:rsidP="001D1842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Теория государства и права</w:t>
      </w:r>
    </w:p>
    <w:p w:rsidR="00E55F28" w:rsidRPr="00B73B16" w:rsidRDefault="001D1842" w:rsidP="001D1842">
      <w:pPr>
        <w:spacing w:after="0" w:line="240" w:lineRule="auto"/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 w:val="24"/>
          <w:szCs w:val="24"/>
        </w:rPr>
        <w:t>Круглый стол</w:t>
      </w: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: «Роль государства в обеспечении прав личности: российский и зарубежный опыт»</w:t>
      </w:r>
    </w:p>
    <w:p w:rsidR="001D1842" w:rsidRPr="00B73B16" w:rsidRDefault="001D1842" w:rsidP="001D1842">
      <w:pPr>
        <w:spacing w:after="0" w:line="240" w:lineRule="auto"/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1D1842" w:rsidRPr="00B73B16" w:rsidRDefault="001D1842" w:rsidP="001D1842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proofErr w:type="gramStart"/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Трудовое</w:t>
      </w:r>
      <w:proofErr w:type="gramEnd"/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 xml:space="preserve"> право и право социального обеспечения</w:t>
      </w:r>
    </w:p>
    <w:p w:rsidR="001D1842" w:rsidRPr="00B73B16" w:rsidRDefault="001D1842" w:rsidP="001D1842">
      <w:pPr>
        <w:spacing w:after="0" w:line="240" w:lineRule="auto"/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«Вопросы реализации прав и свобод личности в сфере труда и социального обеспечения»</w:t>
      </w:r>
    </w:p>
    <w:p w:rsidR="001D1842" w:rsidRPr="00B73B16" w:rsidRDefault="001D1842" w:rsidP="001D1842">
      <w:pPr>
        <w:spacing w:after="0" w:line="240" w:lineRule="auto"/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1D1842" w:rsidRPr="00B73B16" w:rsidRDefault="001D1842" w:rsidP="001D1842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72433C">
        <w:rPr>
          <w:rFonts w:ascii="Bookman Old Style" w:hAnsi="Bookman Old Style"/>
          <w:color w:val="17365D" w:themeColor="text2" w:themeShade="BF"/>
          <w:sz w:val="24"/>
          <w:szCs w:val="24"/>
        </w:rPr>
        <w:t>24 ноября</w:t>
      </w: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в </w:t>
      </w:r>
      <w:r w:rsidRPr="00B73B16">
        <w:rPr>
          <w:rFonts w:ascii="Bookman Old Style" w:hAnsi="Bookman Old Style"/>
          <w:b/>
          <w:color w:val="17365D" w:themeColor="text2" w:themeShade="BF"/>
          <w:sz w:val="24"/>
          <w:szCs w:val="24"/>
        </w:rPr>
        <w:t xml:space="preserve">МГЮА </w:t>
      </w: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пройдут заседания секций</w:t>
      </w:r>
    </w:p>
    <w:p w:rsidR="006A1D60" w:rsidRPr="00B73B16" w:rsidRDefault="006A1D60" w:rsidP="006A1D60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Адвокатура и нотариат</w:t>
      </w:r>
    </w:p>
    <w:p w:rsidR="006A1D60" w:rsidRPr="00B73B16" w:rsidRDefault="006A1D60" w:rsidP="006A1D60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«Проблемы и перспективы реформирования адвокатуры Российской Федерации на современном этапе»</w:t>
      </w:r>
    </w:p>
    <w:p w:rsidR="006A1D60" w:rsidRPr="00B73B16" w:rsidRDefault="006A1D60" w:rsidP="006A1D60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Административное право и процесс</w:t>
      </w:r>
    </w:p>
    <w:p w:rsidR="006A1D60" w:rsidRPr="00B73B16" w:rsidRDefault="006A1D60" w:rsidP="006A1D60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«Современное состояние и тенденции развития предмета и системы российского административного права»</w:t>
      </w:r>
    </w:p>
    <w:p w:rsidR="006A1D60" w:rsidRPr="00B73B16" w:rsidRDefault="006A1D60" w:rsidP="006A1D60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Банковское право</w:t>
      </w:r>
    </w:p>
    <w:p w:rsidR="006A1D60" w:rsidRPr="00B73B16" w:rsidRDefault="006A1D60" w:rsidP="006A1D60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«</w:t>
      </w:r>
      <w:proofErr w:type="gramStart"/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Партнерский</w:t>
      </w:r>
      <w:proofErr w:type="gramEnd"/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</w:t>
      </w:r>
      <w:proofErr w:type="spellStart"/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банкинг</w:t>
      </w:r>
      <w:proofErr w:type="spellEnd"/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: проблемы правового регулировании, защиты прав участников, перспективы внедрения»</w:t>
      </w:r>
    </w:p>
    <w:p w:rsidR="006A1D60" w:rsidRPr="00B73B16" w:rsidRDefault="006A1D60" w:rsidP="006A1D60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proofErr w:type="gramStart"/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Интеграционное</w:t>
      </w:r>
      <w:proofErr w:type="gramEnd"/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 xml:space="preserve"> право и право Европейского Союза</w:t>
      </w:r>
    </w:p>
    <w:p w:rsidR="006A1D60" w:rsidRPr="00B73B16" w:rsidRDefault="006A1D60" w:rsidP="006A1D60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«Общеевропейские стандарты прав человека: проблемы реализации, перспективы совершенствования»</w:t>
      </w:r>
    </w:p>
    <w:p w:rsidR="006A1D60" w:rsidRPr="00B73B16" w:rsidRDefault="006A1D60" w:rsidP="006A1D60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Информационное право</w:t>
      </w:r>
    </w:p>
    <w:p w:rsidR="001D1842" w:rsidRPr="00B73B16" w:rsidRDefault="006A1D60" w:rsidP="006A1D60">
      <w:pPr>
        <w:spacing w:after="0" w:line="240" w:lineRule="auto"/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«Права и своды человека в информационном обществе»</w:t>
      </w:r>
    </w:p>
    <w:p w:rsidR="006A1D60" w:rsidRPr="00B73B16" w:rsidRDefault="006A1D60" w:rsidP="006A1D60">
      <w:pPr>
        <w:spacing w:after="0" w:line="240" w:lineRule="auto"/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6A1D60" w:rsidRPr="00B73B16" w:rsidRDefault="006A1D60" w:rsidP="006A1D60">
      <w:pPr>
        <w:spacing w:after="0" w:line="240" w:lineRule="auto"/>
        <w:rPr>
          <w:rFonts w:ascii="Bookman Old Style" w:hAnsi="Bookman Old Style"/>
          <w:b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 w:val="24"/>
          <w:szCs w:val="24"/>
        </w:rPr>
        <w:t>Спортивное право</w:t>
      </w:r>
    </w:p>
    <w:p w:rsidR="006A1D60" w:rsidRPr="00B73B16" w:rsidRDefault="006A1D60" w:rsidP="006A1D60">
      <w:pPr>
        <w:spacing w:after="0" w:line="240" w:lineRule="auto"/>
        <w:rPr>
          <w:rFonts w:ascii="Bookman Old Style" w:hAnsi="Bookman Old Style"/>
          <w:b/>
          <w:color w:val="17365D" w:themeColor="text2" w:themeShade="BF"/>
          <w:sz w:val="24"/>
          <w:szCs w:val="24"/>
        </w:rPr>
      </w:pPr>
    </w:p>
    <w:p w:rsidR="006A1D60" w:rsidRPr="00B73B16" w:rsidRDefault="006A1D60" w:rsidP="006A1D60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lastRenderedPageBreak/>
        <w:t>Философия права</w:t>
      </w:r>
    </w:p>
    <w:p w:rsidR="006A1D60" w:rsidRPr="00B73B16" w:rsidRDefault="006A1D60" w:rsidP="006A1D60">
      <w:pPr>
        <w:spacing w:after="0" w:line="240" w:lineRule="auto"/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«Философско-социальные мысли </w:t>
      </w:r>
      <w:proofErr w:type="spellStart"/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И.Н.Новгородцева</w:t>
      </w:r>
      <w:proofErr w:type="spellEnd"/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о государстве, свободе и ответственности личности»</w:t>
      </w:r>
    </w:p>
    <w:p w:rsidR="006A1D60" w:rsidRPr="00B73B16" w:rsidRDefault="006A1D60" w:rsidP="006A1D60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Финансовое право</w:t>
      </w:r>
    </w:p>
    <w:p w:rsidR="006A1D60" w:rsidRPr="00B73B16" w:rsidRDefault="006A1D60" w:rsidP="006A1D60">
      <w:pPr>
        <w:spacing w:after="0" w:line="240" w:lineRule="auto"/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"Публичные финансы, как механизм обеспечения прав и свобод человека"</w:t>
      </w:r>
    </w:p>
    <w:p w:rsidR="006A1D60" w:rsidRPr="00B73B16" w:rsidRDefault="006A1D60" w:rsidP="006A1D60">
      <w:pPr>
        <w:spacing w:after="0" w:line="240" w:lineRule="auto"/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6A1D60" w:rsidRPr="00B73B16" w:rsidRDefault="006A1D60" w:rsidP="006A1D60">
      <w:pPr>
        <w:pStyle w:val="2"/>
        <w:ind w:firstLine="0"/>
        <w:jc w:val="left"/>
        <w:rPr>
          <w:rFonts w:ascii="Bookman Old Style" w:hAnsi="Bookman Old Style"/>
          <w:b/>
          <w:color w:val="17365D" w:themeColor="text2" w:themeShade="BF"/>
          <w:szCs w:val="24"/>
        </w:rPr>
      </w:pPr>
      <w:r w:rsidRPr="00B73B16">
        <w:rPr>
          <w:rFonts w:ascii="Bookman Old Style" w:hAnsi="Bookman Old Style"/>
          <w:b/>
          <w:color w:val="17365D" w:themeColor="text2" w:themeShade="BF"/>
          <w:szCs w:val="24"/>
        </w:rPr>
        <w:t>Экологическое и земельное право</w:t>
      </w:r>
    </w:p>
    <w:p w:rsidR="006A1D60" w:rsidRPr="00B73B16" w:rsidRDefault="006A1D60" w:rsidP="006A1D60">
      <w:pPr>
        <w:spacing w:after="0" w:line="240" w:lineRule="auto"/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73B16">
        <w:rPr>
          <w:rFonts w:ascii="Bookman Old Style" w:hAnsi="Bookman Old Style"/>
          <w:color w:val="17365D" w:themeColor="text2" w:themeShade="BF"/>
          <w:sz w:val="24"/>
          <w:szCs w:val="24"/>
        </w:rPr>
        <w:t>«Защита и гарантии прав граждан в сфере природопользования и охраны окружающей среды»</w:t>
      </w:r>
    </w:p>
    <w:sectPr w:rsidR="006A1D60" w:rsidRPr="00B73B16" w:rsidSect="007F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61D"/>
    <w:rsid w:val="00031BCF"/>
    <w:rsid w:val="00122BC9"/>
    <w:rsid w:val="001D1842"/>
    <w:rsid w:val="006A1D60"/>
    <w:rsid w:val="0072433C"/>
    <w:rsid w:val="0073058F"/>
    <w:rsid w:val="007F6345"/>
    <w:rsid w:val="00A52298"/>
    <w:rsid w:val="00A72F00"/>
    <w:rsid w:val="00B73B16"/>
    <w:rsid w:val="00BB361D"/>
    <w:rsid w:val="00BF543E"/>
    <w:rsid w:val="00E55F28"/>
    <w:rsid w:val="00F071F7"/>
    <w:rsid w:val="00F9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rsid w:val="00122BC9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2016-10-31T08:05:00Z</dcterms:created>
  <dcterms:modified xsi:type="dcterms:W3CDTF">2016-11-01T15:21:00Z</dcterms:modified>
</cp:coreProperties>
</file>